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Periodisering</w:t>
      </w:r>
    </w:p>
    <w:p>
      <w:pPr>
        <w:spacing w:after="180"/>
        <w:ind w:left="0"/>
        <w:jc w:val="left"/>
      </w:pPr>
      <w:r>
        <w:rPr>
          <w:rFonts w:ascii="Open Sans" w:hAnsi="Open Sans"/>
          <w:b/>
          <w:i w:val="false"/>
          <w:color w:val="000000"/>
        </w:rPr>
        <w:t>Periodisering og bortsetting</w:t>
      </w:r>
    </w:p>
    <w:p>
      <w:pPr>
        <w:spacing w:after="269"/>
        <w:ind w:left="0"/>
        <w:jc w:val="left"/>
      </w:pPr>
      <w:r>
        <w:rPr>
          <w:rFonts w:ascii="Open Sans" w:hAnsi="Open Sans"/>
          <w:b w:val="false"/>
          <w:i w:val="false"/>
          <w:color w:val="000000"/>
          <w:sz w:val="22"/>
        </w:rPr>
        <w:t>    </w:t>
      </w:r>
    </w:p>
    <w:tbl>
      <w:tblPr>
        <w:tblW w:w="5000" w:type="pct"/>
        <w:tblCellSpacing w:w="20" w:type="dxa"/>
        <w:tblBorders>
          <w:top w:val="none"/>
          <w:left w:val="none"/>
          <w:bottom w:val="none"/>
          <w:right w:val="none"/>
          <w:insideH w:val="none"/>
          <w:insideV w:val="none"/>
        </w:tblBorders>
      </w:tblPr>
      <w:tblGrid>
        <w:gridCol w:w="14360"/>
      </w:tblGrid>
      <w:tr>
        <w:trPr>
          <w:trHeight w:val="30" w:hRule="atLeast"/>
        </w:trPr>
        <w:tc>
          <w:tcPr>
            <w:tcW w:w="5000" w:type="pct"/>
            <w:tcBorders/>
            <w:tcMar>
              <w:top w:w="15" w:type="dxa"/>
              <w:left w:w="15" w:type="dxa"/>
              <w:bottom w:w="15" w:type="dxa"/>
              <w:right w:w="15" w:type="dxa"/>
            </w:tcMar>
            <w:vAlign w:val="center"/>
          </w:tcPr>
          <w:p>
            <w:pPr>
              <w:spacing w:after="180"/>
              <w:ind w:left="15"/>
              <w:jc w:val="left"/>
            </w:pPr>
            <w:r>
              <w:rPr>
                <w:rFonts w:ascii="Open Sans" w:hAnsi="Open Sans"/>
                <w:b/>
                <w:i w:val="false"/>
                <w:color w:val="000000"/>
              </w:rPr>
              <w:t>Periodeinndeling av arkivene</w:t>
            </w:r>
          </w:p>
          <w:p>
            <w:pPr>
              <w:spacing w:after="0"/>
              <w:ind w:left="15"/>
              <w:jc w:val="left"/>
            </w:pPr>
            <w:r>
              <w:rPr>
                <w:rFonts w:ascii="Open Sans" w:hAnsi="Open Sans"/>
                <w:b w:val="false"/>
                <w:i w:val="false"/>
                <w:color w:val="000000"/>
                <w:sz w:val="22"/>
              </w:rPr>
              <w:t>I følge arkivforskriften skal saksarkiv fra avsluttede journalperioder, og andre arkivserier som ikke lengre er i bruk, skilles ut fra dagligarkivet (aktivt arkiv) og plasseres i bortsettingsarkiv.</w:t>
            </w:r>
            <w:r>
              <w:rPr>
                <w:rFonts w:ascii="Open Sans" w:hAnsi="Open Sans"/>
                <w:b w:val="false"/>
                <w:i w:val="false"/>
                <w:color w:val="000000"/>
                <w:sz w:val="22"/>
              </w:rPr>
              <w:t>Behandlingen av arkivene i Færder kommune bygger på en inndeling av arkivperioder for lengre perioder.</w:t>
            </w:r>
            <w:r>
              <w:rPr>
                <w:rFonts w:ascii="Open Sans" w:hAnsi="Open Sans"/>
                <w:b w:val="false"/>
                <w:i w:val="false"/>
                <w:color w:val="000000"/>
                <w:sz w:val="22"/>
              </w:rPr>
              <w:t>I tillegg skal det periodiseres når viktige arkivorganisatoriske endringer tilsier det, som f.eks. ved nedlegging eller sammenslåing av virksomheter med egne arkiver, flytting av store saksområder eller oppgaver, bytte av forvaltningsnivå eller privatisering, ved sentralisering av arkivtjenesten, overgang til elektronisk arkiv og ved skifte av arkivnøkkel.</w:t>
            </w:r>
            <w:r>
              <w:rPr>
                <w:rFonts w:ascii="Open Sans" w:hAnsi="Open Sans"/>
                <w:b w:val="false"/>
                <w:i w:val="false"/>
                <w:color w:val="000000"/>
                <w:sz w:val="22"/>
              </w:rPr>
              <w:t>Arkivet skal rutinemessig deles i fysiske enheter som følger arkivperioden. Etter at en arkivperiode er avsluttet, skal avsluttet arkiv fra perioden overføres til bortsettingsarkiv. Etter to perioder i bortsettingsarkivet skal arkivmaterialet avleveres til arkivdepot.</w:t>
            </w:r>
            <w:r>
              <w:rPr>
                <w:rFonts w:ascii="Open Sans" w:hAnsi="Open Sans"/>
                <w:b w:val="false"/>
                <w:i w:val="false"/>
                <w:color w:val="000000"/>
                <w:sz w:val="22"/>
              </w:rPr>
              <w:t>Arkivets ulike livsfaser vil etter dette bli som følger:</w:t>
            </w:r>
          </w:p>
          <w:p>
            <w:pPr>
              <w:numPr>
                <w:ilvl w:val="0"/>
                <w:numId w:val="1"/>
              </w:numPr>
              <w:spacing w:after="0"/>
              <w:jc w:val="left"/>
            </w:pPr>
            <w:r>
              <w:rPr>
                <w:rFonts w:ascii="Open Sans" w:hAnsi="Open Sans"/>
                <w:b w:val="false"/>
                <w:i w:val="false"/>
                <w:color w:val="000000"/>
                <w:sz w:val="22"/>
              </w:rPr>
              <w:t>Dagligarkiv, fra 0-4 (8) år</w:t>
            </w:r>
          </w:p>
          <w:p>
            <w:pPr>
              <w:numPr>
                <w:ilvl w:val="0"/>
                <w:numId w:val="1"/>
              </w:numPr>
              <w:spacing w:after="0"/>
              <w:jc w:val="left"/>
            </w:pPr>
            <w:r>
              <w:rPr>
                <w:rFonts w:ascii="Open Sans" w:hAnsi="Open Sans"/>
                <w:b w:val="false"/>
                <w:i w:val="false"/>
                <w:color w:val="000000"/>
                <w:sz w:val="22"/>
              </w:rPr>
              <w:t>Bortsettingsarkiv fra 4 (8)-25 år</w:t>
            </w:r>
          </w:p>
          <w:p>
            <w:pPr>
              <w:numPr>
                <w:ilvl w:val="0"/>
                <w:numId w:val="1"/>
              </w:numPr>
              <w:spacing w:after="0"/>
              <w:jc w:val="left"/>
            </w:pPr>
            <w:r>
              <w:rPr>
                <w:rFonts w:ascii="Open Sans" w:hAnsi="Open Sans"/>
                <w:b w:val="false"/>
                <w:i w:val="false"/>
                <w:color w:val="000000"/>
                <w:sz w:val="22"/>
              </w:rPr>
              <w:t>Arkivdepot fra 25-30 år</w:t>
            </w:r>
          </w:p>
          <w:p>
            <w:pPr>
              <w:spacing w:after="0"/>
              <w:ind w:left="15"/>
              <w:jc w:val="left"/>
            </w:pPr>
          </w:p>
          <w:p>
            <w:pPr>
              <w:spacing w:after="180"/>
              <w:ind w:left="15"/>
              <w:jc w:val="left"/>
            </w:pPr>
            <w:r>
              <w:rPr>
                <w:rFonts w:ascii="Open Sans" w:hAnsi="Open Sans"/>
                <w:b/>
                <w:i w:val="false"/>
                <w:color w:val="000000"/>
              </w:rPr>
              <w:t>Formål</w:t>
            </w:r>
          </w:p>
          <w:p>
            <w:pPr>
              <w:spacing w:after="0"/>
              <w:ind w:left="15"/>
              <w:jc w:val="left"/>
            </w:pPr>
            <w:r>
              <w:rPr>
                <w:rFonts w:ascii="Open Sans" w:hAnsi="Open Sans"/>
                <w:b w:val="false"/>
                <w:i w:val="false"/>
                <w:color w:val="000000"/>
                <w:sz w:val="22"/>
              </w:rPr>
              <w:t>Periodisering er et praktisk grep som gjøres for å få bedre kontroll med, og oversikt over, arkivmassen. Ved å skille ut alle avsluttede saker fra en arkivperiode, slik at disse kan overføres til bortsettingsarkiv, gjør vi rom for nye saker i aktivt arkiv og starter prosessen med å få avlevert matarialet til arkivdepot. Arkivene blir lettere å finne fram i når uaktuelt materiale settes bort.</w:t>
            </w:r>
          </w:p>
          <w:p>
            <w:pPr>
              <w:spacing w:after="180"/>
              <w:ind w:left="15"/>
              <w:jc w:val="left"/>
            </w:pPr>
            <w:r>
              <w:rPr>
                <w:rFonts w:ascii="Open Sans" w:hAnsi="Open Sans"/>
                <w:b/>
                <w:i w:val="false"/>
                <w:color w:val="000000"/>
              </w:rPr>
              <w:t>Hvordan periodisere?</w:t>
            </w:r>
          </w:p>
          <w:p>
            <w:pPr>
              <w:spacing w:after="0"/>
              <w:ind w:left="15"/>
              <w:jc w:val="left"/>
            </w:pPr>
            <w:r>
              <w:rPr>
                <w:rFonts w:ascii="Open Sans" w:hAnsi="Open Sans"/>
                <w:b w:val="false"/>
                <w:i w:val="false"/>
                <w:color w:val="000000"/>
                <w:sz w:val="22"/>
              </w:rPr>
              <w:t>Metoden avhenger av årsaken til hvorfor man periodiserer, og om man har papirbasert arkiv med papirbasert postjournal, papirbasert arkiv med elektronisk postjournal eller elektronisk arkiv og postjournal.</w:t>
            </w:r>
            <w:r>
              <w:rPr>
                <w:rFonts w:ascii="Open Sans" w:hAnsi="Open Sans"/>
                <w:b w:val="false"/>
                <w:i w:val="false"/>
                <w:color w:val="000000"/>
                <w:sz w:val="22"/>
              </w:rPr>
              <w:t>Uavhengig av årsak skal det settes strek ved en bestemt dato, arkivet avsluttes og det startes opp et nytt ved tidsskillet.</w:t>
            </w:r>
          </w:p>
          <w:p>
            <w:pPr>
              <w:spacing w:after="180"/>
              <w:ind w:left="15"/>
              <w:jc w:val="left"/>
            </w:pPr>
            <w:r>
              <w:rPr>
                <w:rFonts w:ascii="Open Sans" w:hAnsi="Open Sans"/>
                <w:b/>
                <w:i w:val="false"/>
                <w:color w:val="000000"/>
              </w:rPr>
              <w:t>Hva skal periodiseres?</w:t>
            </w:r>
          </w:p>
          <w:p>
            <w:pPr>
              <w:spacing w:after="0"/>
              <w:ind w:left="15"/>
              <w:jc w:val="left"/>
            </w:pPr>
            <w:r>
              <w:rPr>
                <w:rFonts w:ascii="Open Sans" w:hAnsi="Open Sans"/>
                <w:b w:val="false"/>
                <w:i w:val="false"/>
                <w:color w:val="000000"/>
                <w:sz w:val="22"/>
              </w:rPr>
              <w:t>Periodiseringen omfatter de arkivdelene som det er naturlig å avgrense i tid.</w:t>
            </w:r>
            <w:r>
              <w:rPr>
                <w:rFonts w:ascii="Open Sans" w:hAnsi="Open Sans"/>
                <w:b w:val="false"/>
                <w:i w:val="false"/>
                <w:color w:val="000000"/>
                <w:sz w:val="22"/>
              </w:rPr>
              <w:t>Objektordnede spesialarkiv, slik som personalarkiv, eiendomsarkiv og klientarkiv, er normalt ikke gjenstand for periodisering. Det er utarbeidet egne periodiseringsregler for objektordnete arkivserier, som innebærer at uaktuelle saker skilles ut og settes bort med jevne mellomrom.</w:t>
            </w:r>
          </w:p>
          <w:p>
            <w:pPr>
              <w:spacing w:after="180"/>
              <w:ind w:left="15"/>
              <w:jc w:val="left"/>
            </w:pPr>
            <w:r>
              <w:rPr>
                <w:rFonts w:ascii="Open Sans" w:hAnsi="Open Sans"/>
                <w:b/>
                <w:i w:val="false"/>
                <w:color w:val="000000"/>
              </w:rPr>
              <w:t>Planlegging og gjennomføring</w:t>
            </w:r>
          </w:p>
          <w:p>
            <w:pPr>
              <w:spacing w:after="0"/>
              <w:ind w:left="15"/>
              <w:jc w:val="left"/>
            </w:pPr>
            <w:r>
              <w:rPr>
                <w:rFonts w:ascii="Open Sans" w:hAnsi="Open Sans"/>
                <w:b w:val="false"/>
                <w:i w:val="false"/>
                <w:color w:val="000000"/>
                <w:sz w:val="22"/>
              </w:rPr>
              <w:t>Planlegging av periodeinndelingen er viktig for å kunne sette av tid til de arbeidsoppgavene dette forutsetter. I planleggingsfasen bestemmes årsaken til periodiseringen og metode: skarpt skille eller overlappingsperiode. Det skal sendes ut informasjon til alle berørte slik at saksavslutningen skjer i tide.</w:t>
            </w:r>
          </w:p>
          <w:p>
            <w:pPr>
              <w:spacing w:after="180"/>
              <w:ind w:left="15"/>
              <w:jc w:val="left"/>
            </w:pPr>
            <w:r>
              <w:rPr>
                <w:rFonts w:ascii="Open Sans" w:hAnsi="Open Sans"/>
                <w:b/>
                <w:i w:val="false"/>
                <w:color w:val="000000"/>
              </w:rPr>
              <w:t>Skarpt skille</w:t>
            </w:r>
          </w:p>
          <w:p>
            <w:pPr>
              <w:spacing w:after="0"/>
              <w:ind w:left="15"/>
              <w:jc w:val="left"/>
            </w:pPr>
            <w:r>
              <w:rPr>
                <w:rFonts w:ascii="Open Sans" w:hAnsi="Open Sans"/>
                <w:b w:val="false"/>
                <w:i w:val="false"/>
                <w:color w:val="000000"/>
                <w:sz w:val="22"/>
              </w:rPr>
              <w:t>Skarpt skille benyttes ved bruk av papirbasert postjournal, overgang fra papirbasert til elektronisk journal og ved omfattende organisatoriske eller arkivmessige omlegginger.</w:t>
            </w:r>
            <w:r>
              <w:rPr>
                <w:rFonts w:ascii="Open Sans" w:hAnsi="Open Sans"/>
                <w:b w:val="false"/>
                <w:i w:val="false"/>
                <w:color w:val="000000"/>
                <w:sz w:val="22"/>
              </w:rPr>
              <w:t>Framgangsmåten er som følger:</w:t>
            </w:r>
          </w:p>
          <w:p>
            <w:pPr>
              <w:numPr>
                <w:ilvl w:val="0"/>
                <w:numId w:val="2"/>
              </w:numPr>
              <w:spacing w:after="0"/>
              <w:jc w:val="left"/>
            </w:pPr>
            <w:r>
              <w:rPr>
                <w:rFonts w:ascii="Open Sans" w:hAnsi="Open Sans"/>
                <w:b w:val="false"/>
                <w:i w:val="false"/>
                <w:color w:val="000000"/>
                <w:sz w:val="22"/>
              </w:rPr>
              <w:t>Dato for skille D skal settes og nytt saksarkiv gjøres klart.</w:t>
            </w:r>
          </w:p>
          <w:p>
            <w:pPr>
              <w:numPr>
                <w:ilvl w:val="0"/>
                <w:numId w:val="2"/>
              </w:numPr>
              <w:spacing w:after="0"/>
              <w:jc w:val="left"/>
            </w:pPr>
            <w:r>
              <w:rPr>
                <w:rFonts w:ascii="Open Sans" w:hAnsi="Open Sans"/>
                <w:b w:val="false"/>
                <w:i w:val="false"/>
                <w:color w:val="000000"/>
                <w:sz w:val="22"/>
              </w:rPr>
              <w:t>Alle dokumenter skal avskrives og alle saker avsluttes uavhengig om de fremdeles er til behandling.</w:t>
            </w:r>
          </w:p>
          <w:p>
            <w:pPr>
              <w:numPr>
                <w:ilvl w:val="0"/>
                <w:numId w:val="2"/>
              </w:numPr>
              <w:spacing w:after="0"/>
              <w:jc w:val="left"/>
            </w:pPr>
            <w:r>
              <w:rPr>
                <w:rFonts w:ascii="Open Sans" w:hAnsi="Open Sans"/>
                <w:b w:val="false"/>
                <w:i w:val="false"/>
                <w:color w:val="000000"/>
                <w:sz w:val="22"/>
              </w:rPr>
              <w:t>Nye saker eller saker som er til behandling skal opprettes på nytt i nytt arkiv med nye saksmapper.</w:t>
            </w:r>
          </w:p>
          <w:p>
            <w:pPr>
              <w:numPr>
                <w:ilvl w:val="0"/>
                <w:numId w:val="2"/>
              </w:numPr>
              <w:spacing w:after="0"/>
              <w:jc w:val="left"/>
            </w:pPr>
            <w:r>
              <w:rPr>
                <w:rFonts w:ascii="Open Sans" w:hAnsi="Open Sans"/>
                <w:b w:val="false"/>
                <w:i w:val="false"/>
                <w:color w:val="000000"/>
                <w:sz w:val="22"/>
              </w:rPr>
              <w:t>Det lages kryssreferanser mellom gammel og ny saksmappe.</w:t>
            </w:r>
          </w:p>
          <w:p>
            <w:pPr>
              <w:numPr>
                <w:ilvl w:val="0"/>
                <w:numId w:val="2"/>
              </w:numPr>
              <w:spacing w:after="0"/>
              <w:jc w:val="left"/>
            </w:pPr>
            <w:r>
              <w:rPr>
                <w:rFonts w:ascii="Open Sans" w:hAnsi="Open Sans"/>
                <w:b w:val="false"/>
                <w:i w:val="false"/>
                <w:color w:val="000000"/>
                <w:sz w:val="22"/>
              </w:rPr>
              <w:t>Gammel saksmappe kan lånes ut og legges ved den nye mappa til saken er endelig avsluttet.</w:t>
            </w:r>
          </w:p>
          <w:p>
            <w:pPr>
              <w:numPr>
                <w:ilvl w:val="0"/>
                <w:numId w:val="2"/>
              </w:numPr>
              <w:spacing w:after="0"/>
              <w:jc w:val="left"/>
            </w:pPr>
            <w:r>
              <w:rPr>
                <w:rFonts w:ascii="Open Sans" w:hAnsi="Open Sans"/>
                <w:b w:val="false"/>
                <w:i w:val="false"/>
                <w:color w:val="000000"/>
                <w:sz w:val="22"/>
              </w:rPr>
              <w:t>Når D er satt for det fysiske arkivet skal den tilsvarende arkivdelen i journalsystemet få arkivstatus U (uaktuell).</w:t>
            </w:r>
          </w:p>
          <w:p>
            <w:pPr>
              <w:numPr>
                <w:ilvl w:val="0"/>
                <w:numId w:val="2"/>
              </w:numPr>
              <w:spacing w:after="0"/>
              <w:jc w:val="left"/>
            </w:pPr>
            <w:r>
              <w:rPr>
                <w:rFonts w:ascii="Open Sans" w:hAnsi="Open Sans"/>
                <w:b w:val="false"/>
                <w:i w:val="false"/>
                <w:color w:val="000000"/>
                <w:sz w:val="22"/>
              </w:rPr>
              <w:t>Det skal opprettes en arvtaker med status A (aktiv). Nye saker vil dermed automatisk bli knyttet til arvtakeren, og ikke til gammel del med status U.</w:t>
            </w:r>
          </w:p>
          <w:p>
            <w:pPr>
              <w:numPr>
                <w:ilvl w:val="0"/>
                <w:numId w:val="2"/>
              </w:numPr>
              <w:spacing w:after="0"/>
              <w:jc w:val="left"/>
            </w:pPr>
            <w:r>
              <w:rPr>
                <w:rFonts w:ascii="Open Sans" w:hAnsi="Open Sans"/>
                <w:b w:val="false"/>
                <w:i w:val="false"/>
                <w:color w:val="000000"/>
                <w:sz w:val="22"/>
              </w:rPr>
              <w:t>Den gamle arkivdelen klargjøres for depotuttrekk. Dette gjennomføres i samarbeid med IKA.</w:t>
            </w:r>
          </w:p>
          <w:p>
            <w:pPr>
              <w:spacing w:after="0"/>
              <w:ind w:left="15"/>
              <w:jc w:val="left"/>
            </w:pPr>
          </w:p>
          <w:p>
            <w:pPr>
              <w:spacing w:after="180"/>
              <w:ind w:left="15"/>
              <w:jc w:val="left"/>
            </w:pPr>
            <w:r>
              <w:rPr>
                <w:rFonts w:ascii="Open Sans" w:hAnsi="Open Sans"/>
                <w:b/>
                <w:i w:val="false"/>
                <w:color w:val="000000"/>
              </w:rPr>
              <w:t>Bortsetting av fysisk arkiv</w:t>
            </w:r>
          </w:p>
          <w:p>
            <w:pPr>
              <w:spacing w:after="0"/>
              <w:ind w:left="15"/>
              <w:jc w:val="left"/>
            </w:pPr>
            <w:r>
              <w:rPr>
                <w:rFonts w:ascii="Open Sans" w:hAnsi="Open Sans"/>
                <w:b w:val="false"/>
                <w:i w:val="false"/>
                <w:color w:val="000000"/>
                <w:sz w:val="22"/>
              </w:rPr>
              <w:t>Papirbaserte arkivserier behandles på følgende måte:</w:t>
            </w:r>
          </w:p>
          <w:p>
            <w:pPr>
              <w:numPr>
                <w:ilvl w:val="0"/>
                <w:numId w:val="3"/>
              </w:numPr>
              <w:spacing w:after="0"/>
              <w:jc w:val="left"/>
            </w:pPr>
            <w:r>
              <w:rPr>
                <w:rFonts w:ascii="Open Sans" w:hAnsi="Open Sans"/>
                <w:b w:val="false"/>
                <w:i w:val="false"/>
                <w:color w:val="000000"/>
                <w:sz w:val="22"/>
              </w:rPr>
              <w:t>Møtebøker og vedtaksbøker, kopibøker, løpende journal: årgangene fra den avsluttede perioden bindes inn, og overføres til bortsettingsarkiv.</w:t>
            </w:r>
          </w:p>
          <w:p>
            <w:pPr>
              <w:numPr>
                <w:ilvl w:val="0"/>
                <w:numId w:val="3"/>
              </w:numPr>
              <w:spacing w:after="0"/>
              <w:jc w:val="left"/>
            </w:pPr>
            <w:r>
              <w:rPr>
                <w:rFonts w:ascii="Open Sans" w:hAnsi="Open Sans"/>
                <w:b w:val="false"/>
                <w:i w:val="false"/>
                <w:color w:val="000000"/>
                <w:sz w:val="22"/>
              </w:rPr>
              <w:t>Spesialarkiv: mapper som har blitt uaktuelle i løpet av arkivperioden skilles ut fra det aktive arkivet, gjennomgås med tanke på arkivbegrensinsg og kassasjon, alt av plast, metall, tape, limte lapper o.l. fjernes, og materialet plasseres i arkivbokser i tråd med arkivstrukturen (kronologisk rekkefølge i henhold til arkivkode), og overføres til bortsettingsarkiv.</w:t>
            </w:r>
          </w:p>
          <w:p>
            <w:pPr>
              <w:numPr>
                <w:ilvl w:val="0"/>
                <w:numId w:val="3"/>
              </w:numPr>
              <w:spacing w:after="0"/>
              <w:jc w:val="left"/>
            </w:pPr>
            <w:r>
              <w:rPr>
                <w:rFonts w:ascii="Open Sans" w:hAnsi="Open Sans"/>
                <w:b w:val="false"/>
                <w:i w:val="false"/>
                <w:color w:val="000000"/>
                <w:sz w:val="22"/>
              </w:rPr>
              <w:t>Saksarkiv: de avsluttede sakene fra siste arkivperiode skal skilles ut, gjennomgås med tanke på arkivbegrensing og kassasjon, alt av plast, metall, tape, limte lapper o.l. fjernes, og materialet plasseres i arkivbokser i tråd med arkivstrukturen (kronologisk rekkefølge i henhold til arkivkode), og overføres til bortsettingsarkiv.</w:t>
            </w:r>
          </w:p>
          <w:p>
            <w:pPr>
              <w:spacing w:after="0"/>
              <w:ind w:left="15"/>
              <w:jc w:val="left"/>
            </w:pPr>
            <w:r>
              <w:rPr>
                <w:rFonts w:ascii="Open Sans" w:hAnsi="Open Sans"/>
                <w:b w:val="false"/>
                <w:i w:val="false"/>
                <w:color w:val="000000"/>
                <w:sz w:val="22"/>
              </w:rPr>
              <w:t>Ved overføring til bortsettingsarkiv skal man merke de enkelte arkivstykker (esker, pakker, protokoller, filmruller, elektroniske lagringsmedium etc.) med:</w:t>
            </w:r>
          </w:p>
          <w:p>
            <w:pPr>
              <w:numPr>
                <w:ilvl w:val="0"/>
                <w:numId w:val="4"/>
              </w:numPr>
              <w:spacing w:after="0"/>
              <w:jc w:val="left"/>
            </w:pPr>
            <w:r>
              <w:rPr>
                <w:rFonts w:ascii="Open Sans" w:hAnsi="Open Sans"/>
                <w:b w:val="false"/>
                <w:i w:val="false"/>
                <w:color w:val="000000"/>
                <w:sz w:val="22"/>
              </w:rPr>
              <w:t>navn på kommune</w:t>
            </w:r>
          </w:p>
          <w:p>
            <w:pPr>
              <w:numPr>
                <w:ilvl w:val="0"/>
                <w:numId w:val="4"/>
              </w:numPr>
              <w:spacing w:after="0"/>
              <w:jc w:val="left"/>
            </w:pPr>
            <w:r>
              <w:rPr>
                <w:rFonts w:ascii="Open Sans" w:hAnsi="Open Sans"/>
                <w:b w:val="false"/>
                <w:i w:val="false"/>
                <w:color w:val="000000"/>
                <w:sz w:val="22"/>
              </w:rPr>
              <w:t>navn på arkivskaper (dvs. etat/avdeling)</w:t>
            </w:r>
          </w:p>
          <w:p>
            <w:pPr>
              <w:numPr>
                <w:ilvl w:val="0"/>
                <w:numId w:val="4"/>
              </w:numPr>
              <w:spacing w:after="0"/>
              <w:jc w:val="left"/>
            </w:pPr>
            <w:r>
              <w:rPr>
                <w:rFonts w:ascii="Open Sans" w:hAnsi="Open Sans"/>
                <w:b w:val="false"/>
                <w:i w:val="false"/>
                <w:color w:val="000000"/>
                <w:sz w:val="22"/>
              </w:rPr>
              <w:t>arkivdel (kopibok, saksarkiv osv.)</w:t>
            </w:r>
          </w:p>
          <w:p>
            <w:pPr>
              <w:numPr>
                <w:ilvl w:val="0"/>
                <w:numId w:val="4"/>
              </w:numPr>
              <w:spacing w:after="0"/>
              <w:jc w:val="left"/>
            </w:pPr>
            <w:r>
              <w:rPr>
                <w:rFonts w:ascii="Open Sans" w:hAnsi="Open Sans"/>
                <w:b w:val="false"/>
                <w:i w:val="false"/>
                <w:color w:val="000000"/>
                <w:sz w:val="22"/>
              </w:rPr>
              <w:t>innhold (kode og tekst i arkivnøkkelen)</w:t>
            </w:r>
          </w:p>
          <w:p>
            <w:pPr>
              <w:numPr>
                <w:ilvl w:val="0"/>
                <w:numId w:val="4"/>
              </w:numPr>
              <w:spacing w:after="0"/>
              <w:jc w:val="left"/>
            </w:pPr>
            <w:r>
              <w:rPr>
                <w:rFonts w:ascii="Open Sans" w:hAnsi="Open Sans"/>
                <w:b w:val="false"/>
                <w:i w:val="false"/>
                <w:color w:val="000000"/>
                <w:sz w:val="22"/>
              </w:rPr>
              <w:t>tidsrom arkivmaterialet omfatter</w:t>
            </w:r>
          </w:p>
          <w:p>
            <w:pPr>
              <w:numPr>
                <w:ilvl w:val="0"/>
                <w:numId w:val="4"/>
              </w:numPr>
              <w:spacing w:after="0"/>
              <w:jc w:val="left"/>
            </w:pPr>
            <w:r>
              <w:rPr>
                <w:rFonts w:ascii="Open Sans" w:hAnsi="Open Sans"/>
                <w:b w:val="false"/>
                <w:i w:val="false"/>
                <w:color w:val="000000"/>
                <w:sz w:val="22"/>
              </w:rPr>
              <w:t>nummerering av arkivstykkene</w:t>
            </w:r>
          </w:p>
          <w:p>
            <w:pPr>
              <w:spacing w:after="0"/>
              <w:ind w:left="15"/>
              <w:jc w:val="left"/>
            </w:pPr>
            <w:r>
              <w:rPr>
                <w:rFonts w:ascii="Open Sans" w:hAnsi="Open Sans"/>
                <w:b w:val="false"/>
                <w:i w:val="false"/>
                <w:color w:val="000000"/>
                <w:sz w:val="22"/>
              </w:rPr>
              <w:t>Alt arkivmateriale fra en periode skal stilles opp samlet i bortsettingsarkivet slik at sammenhengen mellom de ulike delene beholdes. Det skal utarbeides summariske lister over materiale som er bortsatt.</w:t>
            </w:r>
          </w:p>
        </w:tc>
      </w:tr>
    </w:tbl>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