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Eldre og avslutta arkiv</w:t>
      </w:r>
    </w:p>
    <w:p>
      <w:pPr>
        <w:spacing w:after="269"/>
        <w:ind w:left="0"/>
        <w:jc w:val="left"/>
      </w:pPr>
      <w:r>
        <w:rPr>
          <w:rFonts w:ascii="Open Sans" w:hAnsi="Open Sans"/>
          <w:b w:val="false"/>
          <w:i w:val="false"/>
          <w:color w:val="000000"/>
          <w:sz w:val="22"/>
        </w:rPr>
        <w:t>    </w:t>
      </w:r>
    </w:p>
    <w:p>
      <w:pPr>
        <w:spacing w:after="269"/>
        <w:ind w:left="0"/>
        <w:jc w:val="left"/>
      </w:pPr>
    </w:p>
    <w:p>
      <w:pPr>
        <w:spacing w:after="180"/>
        <w:ind w:left="0"/>
        <w:jc w:val="left"/>
      </w:pPr>
      <w:r>
        <w:rPr>
          <w:rFonts w:ascii="Open Sans" w:hAnsi="Open Sans"/>
          <w:b/>
          <w:i w:val="false"/>
          <w:color w:val="000000"/>
        </w:rPr>
        <w:t>Deponering av eldre og avsluttet arkiv</w:t>
      </w:r>
    </w:p>
    <w:tbl>
      <w:tblPr>
        <w:tblW w:w="5000" w:type="pct"/>
        <w:tblCellSpacing w:w="20" w:type="dxa"/>
        <w:tblBorders>
          <w:top w:val="none"/>
          <w:left w:val="none"/>
          <w:bottom w:val="none"/>
          <w:right w:val="none"/>
          <w:insideH w:val="none"/>
          <w:insideV w:val="none"/>
        </w:tblBorders>
      </w:tblPr>
      <w:tblGrid>
        <w:gridCol w:w="1610"/>
        <w:gridCol w:w="12606"/>
      </w:tblGrid>
      <w:tr>
        <w:trPr>
          <w:trHeight w:val="30" w:hRule="atLeast"/>
        </w:trPr>
        <w:tc>
          <w:tcPr>
            <w:tcW w:w="2500" w:type="pct"/>
            <w:tcBorders/>
            <w:tcMar>
              <w:top w:w="15" w:type="dxa"/>
              <w:left w:w="15" w:type="dxa"/>
              <w:bottom w:w="15" w:type="dxa"/>
              <w:right w:w="15" w:type="dxa"/>
            </w:tcMar>
            <w:vAlign w:val="center"/>
          </w:tcPr>
          <w:p>
            <w:pPr>
              <w:spacing w:after="0"/>
              <w:ind w:left="0"/>
              <w:jc w:val="left"/>
            </w:pPr>
          </w:p>
        </w:tc>
        <w:tc>
          <w:tcPr>
            <w:tcW w:w="2500" w:type="pct"/>
            <w:tcBorders/>
            <w:tcMar>
              <w:top w:w="15" w:type="dxa"/>
              <w:left w:w="15" w:type="dxa"/>
              <w:bottom w:w="15" w:type="dxa"/>
              <w:right w:w="15" w:type="dxa"/>
            </w:tcMar>
            <w:vAlign w:val="center"/>
          </w:tcPr>
          <w:tbl>
            <w:tblPr>
              <w:tblW w:w="0" w:type="auto"/>
              <w:tblCellSpacing w:w="20" w:type="dxa"/>
              <w:tblBorders>
                <w:top w:val="none"/>
                <w:left w:val="none"/>
                <w:bottom w:val="none"/>
                <w:right w:val="none"/>
                <w:insideH w:val="none"/>
                <w:insideV w:val="none"/>
              </w:tblBorders>
            </w:tblPr>
            <w:tblGrid>
              <w:gridCol w:w="160"/>
              <w:gridCol w:w="80"/>
            </w:tblGrid>
            <w:tr>
              <w:trPr>
                <w:trHeight w:val="30" w:hRule="atLeast"/>
              </w:trPr>
              <w:tc>
                <w:tcPr>
                  <w:tcW w:w="160" w:type="dxa"/>
                  <w:tcBorders/>
                  <w:tcMar>
                    <w:top w:w="15" w:type="dxa"/>
                    <w:left w:w="15" w:type="dxa"/>
                    <w:bottom w:w="15" w:type="dxa"/>
                    <w:right w:w="15" w:type="dxa"/>
                  </w:tcMar>
                  <w:vAlign w:val="center"/>
                </w:tcPr>
                <w:p>
                  <w:pPr>
                    <w:spacing w:after="0"/>
                    <w:ind w:left="0"/>
                    <w:jc w:val="left"/>
                  </w:pPr>
                  <w:r>
                    <w:rPr>
                      <w:rFonts w:ascii="Open Sans" w:hAnsi="Open Sans"/>
                      <w:b w:val="false"/>
                      <w:i w:val="false"/>
                      <w:color w:val="000000"/>
                      <w:sz w:val="22"/>
                    </w:rPr>
                    <w:t> </w:t>
                  </w:r>
                </w:p>
              </w:tc>
              <w:tc>
                <w:tcPr>
                  <w:tcW w:w="80" w:type="dxa"/>
                  <w:tcBorders/>
                  <w:tcMar>
                    <w:top w:w="15" w:type="dxa"/>
                    <w:left w:w="15" w:type="dxa"/>
                    <w:bottom w:w="15" w:type="dxa"/>
                    <w:right w:w="15" w:type="dxa"/>
                  </w:tcMar>
                  <w:vAlign w:val="center"/>
                </w:tcPr>
                <w:p/>
              </w:tc>
            </w:tr>
          </w:tbl>
          <w:p>
            <w:pPr>
              <w:spacing w:after="0"/>
              <w:ind w:left="15"/>
              <w:jc w:val="left"/>
            </w:pPr>
          </w:p>
        </w:tc>
      </w:tr>
    </w:tbl>
    <w:tbl>
      <w:tblPr>
        <w:tblW w:w="5000" w:type="pct"/>
        <w:tblCellSpacing w:w="20" w:type="dxa"/>
        <w:tblBorders>
          <w:top w:val="none"/>
          <w:left w:val="none"/>
          <w:bottom w:val="none"/>
          <w:right w:val="none"/>
          <w:insideH w:val="none"/>
          <w:insideV w:val="none"/>
        </w:tblBorders>
      </w:tblPr>
      <w:tblGrid>
        <w:gridCol w:w="14360"/>
      </w:tblGrid>
      <w:tr>
        <w:trPr>
          <w:trHeight w:val="30" w:hRule="atLeast"/>
        </w:trPr>
        <w:tc>
          <w:tcPr>
            <w:tcW w:w="5000" w:type="pct"/>
            <w:tcBorders/>
            <w:tcMar>
              <w:top w:w="15" w:type="dxa"/>
              <w:left w:w="15" w:type="dxa"/>
              <w:bottom w:w="15" w:type="dxa"/>
              <w:right w:w="15" w:type="dxa"/>
            </w:tcMar>
            <w:vAlign w:val="center"/>
          </w:tcPr>
          <w:p>
            <w:pPr>
              <w:spacing w:after="0"/>
              <w:ind w:left="15"/>
              <w:jc w:val="left"/>
            </w:pPr>
          </w:p>
          <w:p>
            <w:pPr>
              <w:spacing w:after="180"/>
              <w:ind w:left="15"/>
              <w:jc w:val="left"/>
            </w:pPr>
            <w:r>
              <w:rPr>
                <w:rFonts w:ascii="Open Sans" w:hAnsi="Open Sans"/>
                <w:b/>
                <w:i w:val="false"/>
                <w:color w:val="000000"/>
              </w:rPr>
              <w:t>Avleveringsplikt</w:t>
            </w:r>
          </w:p>
          <w:p>
            <w:pPr>
              <w:spacing w:after="0"/>
              <w:ind w:left="15"/>
              <w:jc w:val="left"/>
            </w:pPr>
            <w:r>
              <w:rPr>
                <w:rFonts w:ascii="Open Sans" w:hAnsi="Open Sans"/>
                <w:b w:val="false"/>
                <w:i w:val="false"/>
                <w:color w:val="000000"/>
                <w:sz w:val="22"/>
              </w:rPr>
              <w:t>Alle arkivskapere i Færder kommune skal i tråd med arkivplanens bestemmelser avlevere eldre og avsluttet arkiv til arkivdepot. Med eldre og avsluttet arkiv menes det arkivmateriale som er gått ut av forvaltningsmessig bruk eller materiale etter arkivskapere som er lagt ned eller avviklet.</w:t>
            </w:r>
          </w:p>
          <w:p>
            <w:pPr>
              <w:spacing w:after="180"/>
              <w:ind w:left="15"/>
              <w:jc w:val="left"/>
            </w:pPr>
            <w:r>
              <w:rPr>
                <w:rFonts w:ascii="Open Sans" w:hAnsi="Open Sans"/>
                <w:b/>
                <w:i w:val="false"/>
                <w:color w:val="000000"/>
              </w:rPr>
              <w:t>Framgangsmåte</w:t>
            </w:r>
          </w:p>
          <w:p>
            <w:pPr>
              <w:spacing w:after="0"/>
              <w:ind w:left="15"/>
              <w:jc w:val="left"/>
            </w:pPr>
          </w:p>
          <w:p>
            <w:pPr>
              <w:spacing w:after="180"/>
              <w:ind w:left="15"/>
              <w:jc w:val="left"/>
            </w:pPr>
            <w:r>
              <w:rPr>
                <w:rFonts w:ascii="Open Sans" w:hAnsi="Open Sans"/>
                <w:b/>
                <w:i w:val="false"/>
                <w:color w:val="000000"/>
              </w:rPr>
              <w:t>Papirbasert arkivmateriale</w:t>
            </w:r>
          </w:p>
          <w:p>
            <w:pPr>
              <w:spacing w:after="0"/>
              <w:ind w:left="15"/>
              <w:jc w:val="left"/>
            </w:pPr>
          </w:p>
          <w:p>
            <w:pPr>
              <w:spacing w:after="180"/>
              <w:ind w:left="15"/>
              <w:jc w:val="left"/>
            </w:pPr>
            <w:r>
              <w:rPr>
                <w:rFonts w:ascii="Open Sans" w:hAnsi="Open Sans"/>
                <w:b/>
                <w:i w:val="false"/>
                <w:color w:val="000000"/>
              </w:rPr>
              <w:t>Tidspunkt for avlevering</w:t>
            </w:r>
          </w:p>
          <w:p>
            <w:pPr>
              <w:spacing w:after="0"/>
              <w:ind w:left="15"/>
              <w:jc w:val="left"/>
            </w:pPr>
            <w:r>
              <w:rPr>
                <w:rFonts w:ascii="Open Sans" w:hAnsi="Open Sans"/>
                <w:b w:val="false"/>
                <w:i w:val="false"/>
                <w:color w:val="000000"/>
                <w:sz w:val="22"/>
              </w:rPr>
              <w:t>Eldre arkiv skal avleveres 25- 30 år etter at materialet oppsto. Avsluttet arkiv skal avleveres straks dersom det tilhører en nedlagt virksomhet eller styre, råd og utvalg i kommunen.</w:t>
            </w:r>
          </w:p>
          <w:p>
            <w:pPr>
              <w:spacing w:after="180"/>
              <w:ind w:left="15"/>
              <w:jc w:val="left"/>
            </w:pPr>
            <w:r>
              <w:rPr>
                <w:rFonts w:ascii="Open Sans" w:hAnsi="Open Sans"/>
                <w:b/>
                <w:i w:val="false"/>
                <w:color w:val="000000"/>
              </w:rPr>
              <w:t>Organisering av arbeidet</w:t>
            </w:r>
          </w:p>
          <w:p>
            <w:pPr>
              <w:spacing w:after="0"/>
              <w:ind w:left="15"/>
              <w:jc w:val="left"/>
            </w:pPr>
            <w:r>
              <w:rPr>
                <w:rFonts w:ascii="Open Sans" w:hAnsi="Open Sans"/>
                <w:b w:val="false"/>
                <w:i w:val="false"/>
                <w:color w:val="000000"/>
                <w:sz w:val="22"/>
              </w:rPr>
              <w:t>Det anbefales at arkivmaterialet avleveres samlet hvert 4. år. Arbeidet organiseres av kommunens arkivleder (Fagleder arkiv), som sammen med arkivdepotet (IKA) vil veilede arkivskaperne i dette arbeidet.</w:t>
            </w:r>
            <w:r>
              <w:rPr>
                <w:rFonts w:ascii="Open Sans" w:hAnsi="Open Sans"/>
                <w:b w:val="false"/>
                <w:i w:val="false"/>
                <w:color w:val="000000"/>
                <w:sz w:val="22"/>
              </w:rPr>
              <w:t>Avleverende instans (arkivskaper/kommunen) skal alltid ta kontakt med arkivdepot i god tid før avlevering for å forsikre seg om at de har kapasitet til å ta imot materialet på ønsket tidspunkt.</w:t>
            </w:r>
          </w:p>
          <w:p>
            <w:pPr>
              <w:spacing w:after="180"/>
              <w:ind w:left="15"/>
              <w:jc w:val="left"/>
            </w:pPr>
            <w:r>
              <w:rPr>
                <w:rFonts w:ascii="Open Sans" w:hAnsi="Open Sans"/>
                <w:b/>
                <w:i w:val="false"/>
                <w:color w:val="000000"/>
              </w:rPr>
              <w:t>Klargjøring av materialet</w:t>
            </w:r>
          </w:p>
          <w:p>
            <w:pPr>
              <w:numPr>
                <w:ilvl w:val="0"/>
                <w:numId w:val="1"/>
              </w:numPr>
              <w:spacing w:after="0"/>
              <w:jc w:val="left"/>
            </w:pPr>
            <w:r>
              <w:rPr>
                <w:rFonts w:ascii="Open Sans" w:hAnsi="Open Sans"/>
                <w:b/>
                <w:i w:val="false"/>
                <w:color w:val="000000"/>
                <w:sz w:val="22"/>
              </w:rPr>
              <w:t>Arkiv som er fra tiden før 1980</w:t>
            </w:r>
            <w:r>
              <w:rPr>
                <w:rFonts w:ascii="Open Sans" w:hAnsi="Open Sans"/>
                <w:b w:val="false"/>
                <w:i w:val="false"/>
                <w:color w:val="000000"/>
                <w:sz w:val="22"/>
              </w:rPr>
              <w:t>skal ordnes og katalogiseres av IKA. De enkelte arkivskaperne trenger derfor ikke gjennomgå hvert enkelt arkivstykke, men sørge for grovsortering og enkel listeføring.</w:t>
            </w:r>
          </w:p>
          <w:p>
            <w:pPr>
              <w:numPr>
                <w:ilvl w:val="0"/>
                <w:numId w:val="1"/>
              </w:numPr>
              <w:spacing w:after="0"/>
              <w:jc w:val="left"/>
            </w:pPr>
            <w:r>
              <w:rPr>
                <w:rFonts w:ascii="Open Sans" w:hAnsi="Open Sans"/>
                <w:b w:val="false"/>
                <w:i w:val="false"/>
                <w:color w:val="000000"/>
                <w:sz w:val="22"/>
              </w:rPr>
              <w:t>Grovsortering vil si å skille mellom ulike arkivskapere og ulike serier (møtebøker, kopibøker, postjournaler, saksarkiv).</w:t>
            </w:r>
          </w:p>
          <w:p>
            <w:pPr>
              <w:numPr>
                <w:ilvl w:val="0"/>
                <w:numId w:val="1"/>
              </w:numPr>
              <w:spacing w:after="0"/>
              <w:jc w:val="left"/>
            </w:pPr>
            <w:r>
              <w:rPr>
                <w:rFonts w:ascii="Open Sans" w:hAnsi="Open Sans"/>
                <w:b w:val="false"/>
                <w:i w:val="false"/>
                <w:color w:val="000000"/>
                <w:sz w:val="22"/>
              </w:rPr>
              <w:t>Det skal utarbeides lister over materialet som avleveres. Listen skal inneholde oversikt over alle arkivstykkene (arkivboks, protokoll, ringperm) med referanse til den pappesken de er pakket i.</w:t>
            </w:r>
          </w:p>
          <w:p>
            <w:pPr>
              <w:numPr>
                <w:ilvl w:val="0"/>
                <w:numId w:val="1"/>
              </w:numPr>
              <w:spacing w:after="0"/>
              <w:jc w:val="left"/>
            </w:pPr>
            <w:r>
              <w:rPr>
                <w:rFonts w:ascii="Open Sans" w:hAnsi="Open Sans"/>
                <w:b w:val="false"/>
                <w:i w:val="false"/>
                <w:color w:val="000000"/>
                <w:sz w:val="22"/>
              </w:rPr>
              <w:t>Alle pappeskene skal merkes med navn på kommunen og eventuelt arkivskaper, og nummereres fortløpende.</w:t>
            </w:r>
          </w:p>
          <w:p>
            <w:pPr>
              <w:numPr>
                <w:ilvl w:val="0"/>
                <w:numId w:val="1"/>
              </w:numPr>
              <w:spacing w:after="0"/>
              <w:jc w:val="left"/>
            </w:pPr>
            <w:r>
              <w:rPr>
                <w:rFonts w:ascii="Open Sans" w:hAnsi="Open Sans"/>
                <w:b w:val="false"/>
                <w:i w:val="false"/>
                <w:color w:val="000000"/>
                <w:sz w:val="22"/>
              </w:rPr>
              <w:t>Ett eksemplar av listen skal følge med avleveringen, ett eksemplar skal kommunen selv ta vare på.</w:t>
            </w:r>
          </w:p>
          <w:p>
            <w:pPr>
              <w:numPr>
                <w:ilvl w:val="0"/>
                <w:numId w:val="2"/>
              </w:numPr>
              <w:spacing w:after="0"/>
              <w:jc w:val="left"/>
            </w:pPr>
            <w:r>
              <w:rPr>
                <w:rFonts w:ascii="Open Sans" w:hAnsi="Open Sans"/>
                <w:b/>
                <w:i w:val="false"/>
                <w:color w:val="000000"/>
                <w:sz w:val="22"/>
              </w:rPr>
              <w:t>Arkiv fra tiden etter 1980</w:t>
            </w:r>
            <w:r>
              <w:rPr>
                <w:rFonts w:ascii="Open Sans" w:hAnsi="Open Sans"/>
                <w:b w:val="false"/>
                <w:i w:val="false"/>
                <w:color w:val="000000"/>
                <w:sz w:val="22"/>
              </w:rPr>
              <w:t>skal være ordnet og katalogisert av arkivskaper før avlevering.</w:t>
            </w:r>
          </w:p>
          <w:p>
            <w:pPr>
              <w:numPr>
                <w:ilvl w:val="0"/>
                <w:numId w:val="2"/>
              </w:numPr>
              <w:spacing w:after="0"/>
              <w:jc w:val="left"/>
            </w:pPr>
            <w:r>
              <w:rPr>
                <w:rFonts w:ascii="Open Sans" w:hAnsi="Open Sans"/>
                <w:b w:val="false"/>
                <w:i w:val="false"/>
                <w:color w:val="000000"/>
                <w:sz w:val="22"/>
              </w:rPr>
              <w:t>Det vil si at materialet skal være gjennomgått, identifisert og analysert med tanke på arkivbegrensing og kassasjon, listeført på arkivstykke- og saknivå, og beskrevet i forhold til administrativ tilhørighet.</w:t>
            </w:r>
          </w:p>
          <w:p>
            <w:pPr>
              <w:numPr>
                <w:ilvl w:val="0"/>
                <w:numId w:val="2"/>
              </w:numPr>
              <w:spacing w:after="0"/>
              <w:jc w:val="left"/>
            </w:pPr>
            <w:r>
              <w:rPr>
                <w:rFonts w:ascii="Open Sans" w:hAnsi="Open Sans"/>
                <w:b w:val="false"/>
                <w:i w:val="false"/>
                <w:color w:val="000000"/>
                <w:sz w:val="22"/>
              </w:rPr>
              <w:t>Materialet skal være rengjort for smuss og støv, plastomslag, merkelapper med lim, binders, stifter og tape.</w:t>
            </w:r>
          </w:p>
          <w:p>
            <w:pPr>
              <w:numPr>
                <w:ilvl w:val="0"/>
                <w:numId w:val="2"/>
              </w:numPr>
              <w:spacing w:after="0"/>
              <w:jc w:val="left"/>
            </w:pPr>
            <w:r>
              <w:rPr>
                <w:rFonts w:ascii="Open Sans" w:hAnsi="Open Sans"/>
                <w:b w:val="false"/>
                <w:i w:val="false"/>
                <w:color w:val="000000"/>
                <w:sz w:val="22"/>
              </w:rPr>
              <w:t>Saksarkiv skal ligge i riktig rekkefølge i henhold til arkivstrukturen (arkivnøkkelen).</w:t>
            </w:r>
          </w:p>
          <w:p>
            <w:pPr>
              <w:numPr>
                <w:ilvl w:val="0"/>
                <w:numId w:val="2"/>
              </w:numPr>
              <w:spacing w:after="0"/>
              <w:jc w:val="left"/>
            </w:pPr>
            <w:r>
              <w:rPr>
                <w:rFonts w:ascii="Open Sans" w:hAnsi="Open Sans"/>
                <w:b w:val="false"/>
                <w:i w:val="false"/>
                <w:color w:val="000000"/>
                <w:sz w:val="22"/>
              </w:rPr>
              <w:t>Korrespondanse og dokumenter skal være lagt i syrefrie omslag som merkes med innhold og ytterår, og plasseres i arkivbokser i egnet format (A4 eller folio). Boksene skal ikke være for fulle.</w:t>
            </w:r>
          </w:p>
          <w:p>
            <w:pPr>
              <w:numPr>
                <w:ilvl w:val="0"/>
                <w:numId w:val="2"/>
              </w:numPr>
              <w:spacing w:after="0"/>
              <w:jc w:val="left"/>
            </w:pPr>
            <w:r>
              <w:rPr>
                <w:rFonts w:ascii="Open Sans" w:hAnsi="Open Sans"/>
                <w:b w:val="false"/>
                <w:i w:val="false"/>
                <w:color w:val="000000"/>
                <w:sz w:val="22"/>
              </w:rPr>
              <w:t>Møtebøker, kopibøker og andre registre skal være innbundet i henhold til de krav som stilles.</w:t>
            </w:r>
          </w:p>
          <w:p>
            <w:pPr>
              <w:numPr>
                <w:ilvl w:val="0"/>
                <w:numId w:val="2"/>
              </w:numPr>
              <w:spacing w:after="0"/>
              <w:jc w:val="left"/>
            </w:pPr>
            <w:r>
              <w:rPr>
                <w:rFonts w:ascii="Open Sans" w:hAnsi="Open Sans"/>
                <w:b w:val="false"/>
                <w:i w:val="false"/>
                <w:color w:val="000000"/>
                <w:sz w:val="22"/>
              </w:rPr>
              <w:t>Møtebøker som inneholder referater som er limt inn skal være kopiert, og begge eksemplarene skal avleveres.</w:t>
            </w:r>
          </w:p>
          <w:p>
            <w:pPr>
              <w:numPr>
                <w:ilvl w:val="0"/>
                <w:numId w:val="2"/>
              </w:numPr>
              <w:spacing w:after="0"/>
              <w:jc w:val="left"/>
            </w:pPr>
            <w:r>
              <w:rPr>
                <w:rFonts w:ascii="Open Sans" w:hAnsi="Open Sans"/>
                <w:b w:val="false"/>
                <w:i w:val="false"/>
                <w:color w:val="000000"/>
                <w:sz w:val="22"/>
              </w:rPr>
              <w:t>Materialet skal være etikkettert. Etiketten skal gi informasjon om kommune, arkivskaper, arkivserie, innhold, ytterår og løpenummer.</w:t>
            </w:r>
          </w:p>
          <w:p>
            <w:pPr>
              <w:numPr>
                <w:ilvl w:val="0"/>
                <w:numId w:val="2"/>
              </w:numPr>
              <w:spacing w:after="0"/>
              <w:jc w:val="left"/>
            </w:pPr>
            <w:r>
              <w:rPr>
                <w:rFonts w:ascii="Open Sans" w:hAnsi="Open Sans"/>
                <w:b w:val="false"/>
                <w:i w:val="false"/>
                <w:color w:val="000000"/>
                <w:sz w:val="22"/>
              </w:rPr>
              <w:t>Avleveringslisten skal gi fortløpene oversikt over materialet. Den enkelte arkivskaper skal listeføres og beskrives for seg</w:t>
            </w:r>
          </w:p>
          <w:p>
            <w:pPr>
              <w:numPr>
                <w:ilvl w:val="0"/>
                <w:numId w:val="2"/>
              </w:numPr>
              <w:spacing w:after="0"/>
              <w:jc w:val="left"/>
            </w:pPr>
            <w:r>
              <w:rPr>
                <w:rFonts w:ascii="Open Sans" w:hAnsi="Open Sans"/>
                <w:b w:val="false"/>
                <w:i w:val="false"/>
                <w:color w:val="000000"/>
                <w:sz w:val="22"/>
              </w:rPr>
              <w:t>Hvis deler av materialet er unntatt fra offentlighet skal dette framgå av listen.</w:t>
            </w:r>
          </w:p>
          <w:p>
            <w:pPr>
              <w:spacing w:after="0"/>
              <w:ind w:left="15"/>
              <w:jc w:val="left"/>
            </w:pPr>
          </w:p>
          <w:p>
            <w:pPr>
              <w:spacing w:after="180"/>
              <w:ind w:left="15"/>
              <w:jc w:val="left"/>
            </w:pPr>
            <w:r>
              <w:rPr>
                <w:rFonts w:ascii="Open Sans" w:hAnsi="Open Sans"/>
                <w:b/>
                <w:i w:val="false"/>
                <w:color w:val="000000"/>
              </w:rPr>
              <w:t>Transport</w:t>
            </w:r>
          </w:p>
          <w:p>
            <w:pPr>
              <w:numPr>
                <w:ilvl w:val="0"/>
                <w:numId w:val="3"/>
              </w:numPr>
              <w:spacing w:after="0"/>
              <w:jc w:val="left"/>
            </w:pPr>
            <w:r>
              <w:rPr>
                <w:rFonts w:ascii="Open Sans" w:hAnsi="Open Sans"/>
                <w:b w:val="false"/>
                <w:i w:val="false"/>
                <w:color w:val="000000"/>
                <w:sz w:val="22"/>
              </w:rPr>
              <w:t>Materialet stables i rekkefølge inn i bilen.</w:t>
            </w:r>
          </w:p>
          <w:p>
            <w:pPr>
              <w:numPr>
                <w:ilvl w:val="0"/>
                <w:numId w:val="3"/>
              </w:numPr>
              <w:spacing w:after="0"/>
              <w:jc w:val="left"/>
            </w:pPr>
            <w:r>
              <w:rPr>
                <w:rFonts w:ascii="Open Sans" w:hAnsi="Open Sans"/>
                <w:b w:val="false"/>
                <w:i w:val="false"/>
                <w:color w:val="000000"/>
                <w:sz w:val="22"/>
              </w:rPr>
              <w:t>Materialet skal være stablet og sikret på en slik måte at materialet ikke skades. Alt skal være pakket i esker. Arkivstykkene skal under ingen omstendighet ligge løst i bilen.</w:t>
            </w:r>
          </w:p>
          <w:p>
            <w:pPr>
              <w:numPr>
                <w:ilvl w:val="0"/>
                <w:numId w:val="3"/>
              </w:numPr>
              <w:spacing w:after="0"/>
              <w:jc w:val="left"/>
            </w:pPr>
            <w:r>
              <w:rPr>
                <w:rFonts w:ascii="Open Sans" w:hAnsi="Open Sans"/>
                <w:b w:val="false"/>
                <w:i w:val="false"/>
                <w:color w:val="000000"/>
                <w:sz w:val="22"/>
              </w:rPr>
              <w:t>Materialet skal fraktes sikkert i lukket bil til IKAs lokaler i Kongsberg.</w:t>
            </w:r>
          </w:p>
          <w:p>
            <w:pPr>
              <w:numPr>
                <w:ilvl w:val="0"/>
                <w:numId w:val="3"/>
              </w:numPr>
              <w:spacing w:after="0"/>
              <w:jc w:val="left"/>
            </w:pPr>
            <w:r>
              <w:rPr>
                <w:rFonts w:ascii="Open Sans" w:hAnsi="Open Sans"/>
                <w:b w:val="false"/>
                <w:i w:val="false"/>
                <w:color w:val="000000"/>
                <w:sz w:val="22"/>
              </w:rPr>
              <w:t>Ved avlevering av store volum bør bilen ha lift.</w:t>
            </w:r>
          </w:p>
          <w:p>
            <w:pPr>
              <w:numPr>
                <w:ilvl w:val="0"/>
                <w:numId w:val="3"/>
              </w:numPr>
              <w:spacing w:after="0"/>
              <w:jc w:val="left"/>
            </w:pPr>
            <w:r>
              <w:rPr>
                <w:rFonts w:ascii="Open Sans" w:hAnsi="Open Sans"/>
                <w:b w:val="false"/>
                <w:i w:val="false"/>
                <w:color w:val="000000"/>
                <w:sz w:val="22"/>
              </w:rPr>
              <w:t>Bilen skal ikke forlates underveis til Kongsberg. Vi anbefaler derfor at minst to personer deltar i transporten.</w:t>
            </w:r>
          </w:p>
          <w:p>
            <w:pPr>
              <w:numPr>
                <w:ilvl w:val="0"/>
                <w:numId w:val="3"/>
              </w:numPr>
              <w:spacing w:after="0"/>
              <w:jc w:val="left"/>
            </w:pPr>
            <w:r>
              <w:rPr>
                <w:rFonts w:ascii="Open Sans" w:hAnsi="Open Sans"/>
                <w:b w:val="false"/>
                <w:i w:val="false"/>
                <w:color w:val="000000"/>
                <w:sz w:val="22"/>
              </w:rPr>
              <w:t>Kommunen dekker alle kostnader ved transport.</w:t>
            </w:r>
          </w:p>
          <w:p>
            <w:pPr>
              <w:spacing w:after="0"/>
              <w:ind w:left="15"/>
              <w:jc w:val="left"/>
            </w:pPr>
          </w:p>
        </w:tc>
      </w:tr>
    </w:tbl>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