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Private Build Java 1.8.0_362 on Linux -->
    <w:p>
      <w:pPr>
        <w:jc w:val="center"/>
      </w:pPr>
      <w:r>
        <w:rPr>
          <w:rFonts w:ascii="Open Sans" w:hAnsi="Open Sans" w:cs="Open Sans"/>
          <w:sz w:val="48"/>
        </w:rPr>
        <w:t> Periodisering av sak-/arkivsystem (WebSak)</w:t>
      </w:r>
    </w:p>
    <w:p>
      <w:pPr>
        <w:spacing w:after="269"/>
        <w:ind w:left="0"/>
        <w:jc w:val="left"/>
      </w:pPr>
      <w:r>
        <w:rPr>
          <w:rFonts w:ascii="Open Sans" w:hAnsi="Open Sans"/>
          <w:b/>
          <w:i w:val="false"/>
          <w:color w:val="000000"/>
          <w:sz w:val="22"/>
        </w:rPr>
        <w:t>Periodisering av arkivet og vedlikehold av materialet inntil det kan overføres til arkivdepot</w:t>
      </w:r>
    </w:p>
    <w:p>
      <w:pPr>
        <w:spacing w:after="269"/>
        <w:ind w:left="0"/>
        <w:jc w:val="left"/>
      </w:pPr>
      <w:r>
        <w:rPr>
          <w:rFonts w:ascii="Open Sans" w:hAnsi="Open Sans"/>
          <w:b/>
          <w:i w:val="false"/>
          <w:color w:val="000000"/>
          <w:sz w:val="22"/>
        </w:rPr>
        <w:t>Elektronisk periodisering:</w:t>
      </w:r>
    </w:p>
    <w:p>
      <w:pPr>
        <w:spacing w:after="269"/>
        <w:ind w:left="0"/>
        <w:jc w:val="left"/>
      </w:pPr>
      <w:r>
        <w:rPr>
          <w:rFonts w:ascii="Open Sans" w:hAnsi="Open Sans"/>
          <w:b w:val="false"/>
          <w:i w:val="false"/>
          <w:color w:val="000000"/>
          <w:sz w:val="22"/>
        </w:rPr>
        <w:t>- Å periodisere arkivene betyr at man deler journalen og arkivmaterialet i fast avgrensede tidsperioder.</w:t>
      </w:r>
    </w:p>
    <w:p>
      <w:pPr>
        <w:spacing w:after="269"/>
        <w:ind w:left="0"/>
        <w:jc w:val="left"/>
      </w:pPr>
      <w:r>
        <w:rPr>
          <w:rFonts w:ascii="Open Sans" w:hAnsi="Open Sans"/>
          <w:b w:val="false"/>
          <w:i w:val="false"/>
          <w:color w:val="000000"/>
          <w:sz w:val="22"/>
        </w:rPr>
        <w:t>- Elektroniske arkiver blir periodisert ved at avsluttede arkivdeler blir skilt ut og overført til en historisk base. Færder kommune skal deponere til IKA Kongsberg</w:t>
      </w:r>
    </w:p>
    <w:p>
      <w:pPr>
        <w:spacing w:after="269"/>
        <w:ind w:left="0"/>
        <w:jc w:val="left"/>
      </w:pPr>
      <w:r>
        <w:rPr>
          <w:rFonts w:ascii="Open Sans" w:hAnsi="Open Sans"/>
          <w:b/>
          <w:i w:val="false"/>
          <w:color w:val="000000"/>
          <w:sz w:val="22"/>
        </w:rPr>
        <w:t>Hensikten med periodisering:</w:t>
      </w:r>
    </w:p>
    <w:p>
      <w:pPr>
        <w:spacing w:after="269"/>
        <w:ind w:left="0"/>
        <w:jc w:val="left"/>
      </w:pPr>
      <w:r>
        <w:rPr>
          <w:rFonts w:ascii="Open Sans" w:hAnsi="Open Sans"/>
          <w:b w:val="false"/>
          <w:i w:val="false"/>
          <w:color w:val="000000"/>
          <w:sz w:val="22"/>
        </w:rPr>
        <w:t>-          Gjenfinning og gjenbruk av arkivmaterialet blir enklere. Det vil være ressursbesparende i forhold til administrativt bruk, og i forhold til betjening av eksterne brukere av kommunens arkivmateriale.</w:t>
      </w:r>
    </w:p>
    <w:p>
      <w:pPr>
        <w:spacing w:after="269"/>
        <w:ind w:left="0"/>
        <w:jc w:val="left"/>
      </w:pPr>
      <w:r>
        <w:rPr>
          <w:rFonts w:ascii="Open Sans" w:hAnsi="Open Sans"/>
          <w:b w:val="false"/>
          <w:i w:val="false"/>
          <w:color w:val="000000"/>
          <w:sz w:val="22"/>
        </w:rPr>
        <w:t>-          Det blir frigjort plass i det aktive arkivet</w:t>
      </w:r>
    </w:p>
    <w:p>
      <w:pPr>
        <w:spacing w:after="269"/>
        <w:ind w:left="0"/>
        <w:jc w:val="left"/>
      </w:pPr>
      <w:r>
        <w:rPr>
          <w:rFonts w:ascii="Open Sans" w:hAnsi="Open Sans"/>
          <w:b w:val="false"/>
          <w:i w:val="false"/>
          <w:color w:val="000000"/>
          <w:sz w:val="22"/>
        </w:rPr>
        <w:t>-          Når basen blir mindre blir omfanget av dokumenter og saker som skal kvalitetssikres mer oversiktlig</w:t>
      </w:r>
    </w:p>
    <w:p>
      <w:pPr>
        <w:spacing w:after="269"/>
        <w:ind w:left="0"/>
        <w:jc w:val="left"/>
      </w:pPr>
      <w:r>
        <w:rPr>
          <w:rFonts w:ascii="Open Sans" w:hAnsi="Open Sans"/>
          <w:b/>
          <w:i w:val="false"/>
          <w:color w:val="000000"/>
          <w:sz w:val="22"/>
        </w:rPr>
        <w:t>Grunnregler for periodisering:</w:t>
      </w:r>
    </w:p>
    <w:p>
      <w:pPr>
        <w:spacing w:after="269"/>
        <w:ind w:left="0"/>
        <w:jc w:val="left"/>
      </w:pPr>
      <w:r>
        <w:rPr>
          <w:rFonts w:ascii="Open Sans" w:hAnsi="Open Sans"/>
          <w:b w:val="false"/>
          <w:i w:val="false"/>
          <w:color w:val="000000"/>
          <w:sz w:val="22"/>
        </w:rPr>
        <w:t>-          Alle arkivserier i kommunen skal i utgangspunket periodiseres. Det skal altså være rutiner for periodisering både av saksarkiv (webSak), og av kommunens fagsystemer.</w:t>
      </w:r>
    </w:p>
    <w:p>
      <w:pPr>
        <w:spacing w:after="269"/>
        <w:ind w:left="0"/>
        <w:jc w:val="left"/>
      </w:pPr>
      <w:r>
        <w:rPr>
          <w:rFonts w:ascii="Open Sans" w:hAnsi="Open Sans"/>
          <w:b/>
          <w:i w:val="false"/>
          <w:color w:val="000000"/>
          <w:sz w:val="22"/>
        </w:rPr>
        <w:t>Tidspunkt for periodisering:</w:t>
      </w:r>
    </w:p>
    <w:p>
      <w:pPr>
        <w:spacing w:after="269"/>
        <w:ind w:left="0"/>
        <w:jc w:val="left"/>
      </w:pPr>
      <w:r>
        <w:rPr>
          <w:rFonts w:ascii="Open Sans" w:hAnsi="Open Sans"/>
          <w:b w:val="false"/>
          <w:i w:val="false"/>
          <w:color w:val="000000"/>
          <w:sz w:val="22"/>
        </w:rPr>
        <w:t>-          For å få mest mulig oversikt i arkivene ved periodisering skal periodene følge kalenderåret, det vil si at periodeskillet settes til årssiktet mellom to arkivperioder.</w:t>
      </w:r>
    </w:p>
    <w:p>
      <w:pPr>
        <w:spacing w:after="269"/>
        <w:ind w:left="0"/>
        <w:jc w:val="left"/>
      </w:pPr>
      <w:r>
        <w:rPr>
          <w:rFonts w:ascii="Open Sans" w:hAnsi="Open Sans"/>
          <w:b/>
          <w:i w:val="false"/>
          <w:color w:val="000000"/>
          <w:sz w:val="22"/>
        </w:rPr>
        <w:t>Arkivperiodens lenge:</w:t>
      </w:r>
    </w:p>
    <w:p>
      <w:pPr>
        <w:spacing w:after="269"/>
        <w:ind w:left="0"/>
        <w:jc w:val="left"/>
      </w:pPr>
      <w:r>
        <w:rPr>
          <w:rFonts w:ascii="Open Sans" w:hAnsi="Open Sans"/>
          <w:b w:val="false"/>
          <w:i w:val="false"/>
          <w:color w:val="000000"/>
          <w:sz w:val="22"/>
        </w:rPr>
        <w:t>-          En arkivperiode bør ikke være kortere enn tre år, og ikke lenger enn ti år. Etter anbefaling fra IKA Kongsberg bør Færder kommune periodisere hvert 4. år, dvs. 1. januar etter hvert kommunestyrevalg.</w:t>
      </w:r>
    </w:p>
    <w:p>
      <w:pPr>
        <w:spacing w:after="269"/>
        <w:ind w:left="0"/>
        <w:jc w:val="left"/>
      </w:pPr>
      <w:r>
        <w:rPr>
          <w:rFonts w:ascii="Open Sans" w:hAnsi="Open Sans"/>
          <w:b/>
          <w:i w:val="false"/>
          <w:color w:val="000000"/>
          <w:sz w:val="22"/>
        </w:rPr>
        <w:t>Periodisering utenom ordinær arkivperiode:</w:t>
      </w:r>
    </w:p>
    <w:p>
      <w:pPr>
        <w:spacing w:after="269"/>
        <w:ind w:left="0"/>
        <w:jc w:val="left"/>
      </w:pPr>
      <w:r>
        <w:rPr>
          <w:rFonts w:ascii="Open Sans" w:hAnsi="Open Sans"/>
          <w:b w:val="false"/>
          <w:i w:val="false"/>
          <w:color w:val="000000"/>
          <w:sz w:val="22"/>
        </w:rPr>
        <w:t>Situasjoner som skaper et behov for å periodisere arkiveene utenom de ordinære periodeskillene:</w:t>
      </w:r>
    </w:p>
    <w:p>
      <w:pPr>
        <w:spacing w:after="269"/>
        <w:ind w:left="0"/>
        <w:jc w:val="left"/>
      </w:pPr>
      <w:r>
        <w:rPr>
          <w:rFonts w:ascii="Open Sans" w:hAnsi="Open Sans"/>
          <w:b w:val="false"/>
          <w:i w:val="false"/>
          <w:color w:val="000000"/>
          <w:sz w:val="22"/>
        </w:rPr>
        <w:t>-          Bytte av arkivnøkkel</w:t>
      </w:r>
    </w:p>
    <w:p>
      <w:pPr>
        <w:spacing w:after="269"/>
        <w:ind w:left="0"/>
        <w:jc w:val="left"/>
      </w:pPr>
      <w:r>
        <w:rPr>
          <w:rFonts w:ascii="Open Sans" w:hAnsi="Open Sans"/>
          <w:b w:val="false"/>
          <w:i w:val="false"/>
          <w:color w:val="000000"/>
          <w:sz w:val="22"/>
        </w:rPr>
        <w:t>-          Overgang til nytt sak-/arkivsystem</w:t>
      </w:r>
    </w:p>
    <w:p>
      <w:pPr>
        <w:spacing w:after="269"/>
        <w:ind w:left="0"/>
        <w:jc w:val="left"/>
      </w:pPr>
      <w:r>
        <w:rPr>
          <w:rFonts w:ascii="Open Sans" w:hAnsi="Open Sans"/>
          <w:b w:val="false"/>
          <w:i w:val="false"/>
          <w:color w:val="000000"/>
          <w:sz w:val="22"/>
        </w:rPr>
        <w:t>-          Overgang fra manuell til elektronisk journal</w:t>
      </w:r>
    </w:p>
    <w:p>
      <w:pPr>
        <w:spacing w:after="269"/>
        <w:ind w:left="0"/>
        <w:jc w:val="left"/>
      </w:pPr>
      <w:r>
        <w:rPr>
          <w:rFonts w:ascii="Open Sans" w:hAnsi="Open Sans"/>
          <w:b w:val="false"/>
          <w:i w:val="false"/>
          <w:color w:val="000000"/>
          <w:sz w:val="22"/>
        </w:rPr>
        <w:t>-          Omorganiseringer som fører til at virksomheter blir lagt ned eller slått sammen</w:t>
      </w:r>
    </w:p>
    <w:p>
      <w:pPr>
        <w:spacing w:after="269"/>
        <w:ind w:left="0"/>
        <w:jc w:val="left"/>
      </w:pPr>
      <w:r>
        <w:rPr>
          <w:rFonts w:ascii="Open Sans" w:hAnsi="Open Sans"/>
          <w:b w:val="false"/>
          <w:i w:val="false"/>
          <w:color w:val="000000"/>
          <w:sz w:val="22"/>
        </w:rPr>
        <w:t>Dersom slike situasjoner oppstår når det er uforholdsmessig kort tid igjen til ordinert periodeskille, kan arkivleder bestemme at det ikke skal periodiseres ordinært. Den ekstraordinære periodiseringen skal prioriteres for å unngå uorden i arkivene.</w:t>
      </w:r>
    </w:p>
    <w:p>
      <w:pPr>
        <w:spacing w:after="269"/>
        <w:ind w:left="0"/>
        <w:jc w:val="left"/>
      </w:pPr>
      <w:r>
        <w:rPr>
          <w:rFonts w:ascii="Open Sans" w:hAnsi="Open Sans"/>
          <w:b/>
          <w:i w:val="false"/>
          <w:color w:val="000000"/>
          <w:sz w:val="22"/>
        </w:rPr>
        <w:t>Rutine for periodisering i Færder kommune:</w:t>
      </w:r>
    </w:p>
    <w:p>
      <w:pPr>
        <w:spacing w:after="269"/>
        <w:ind w:left="0"/>
        <w:jc w:val="left"/>
      </w:pPr>
      <w:r>
        <w:rPr>
          <w:rFonts w:ascii="Open Sans" w:hAnsi="Open Sans"/>
          <w:b w:val="false"/>
          <w:i w:val="false"/>
          <w:color w:val="000000"/>
          <w:sz w:val="22"/>
        </w:rPr>
        <w:t>I Færder kommune skal hele basen (WebSak) periodiseres hvert 4. år, dvs. 1. januar etter hvert kommunestyrevalg. Det vil i etterkant være en overlappingsperiode på to år inn i den nye arkivperioden.</w:t>
      </w:r>
    </w:p>
    <w:p>
      <w:pPr>
        <w:spacing w:after="269"/>
        <w:ind w:left="0"/>
        <w:jc w:val="left"/>
      </w:pPr>
      <w:r>
        <w:rPr>
          <w:rFonts w:ascii="Open Sans" w:hAnsi="Open Sans"/>
          <w:b w:val="false"/>
          <w:i w:val="false"/>
          <w:color w:val="000000"/>
          <w:sz w:val="22"/>
        </w:rPr>
        <w:t>Ved arkivperiodens slutt vil det alltid finnes en del uavsluttede saker i journalen og i saksarkivet. Det er disse sakene som utløser behovet for en overlappingsperiode. De sakene som ikke er avsluttet i den gamle arkivperioden, men som ikke får tilført nye saksdokumenter i løpet av overlappingsperioden regnes likevel som avsluttet, og settes bortsammen med den gamle arkivperioden. De sakene som får tilført nye saksdokumenter i løpet av overlappingsperioden regnes som aktive, og overføres til den nye perioden. En sak hører med andre ord hjemme i den arkivperioden hvor saken fikk tilført sitt sistedokument, uavhengig av når saken oppsto</w:t>
      </w:r>
    </w:p>
    <w:p>
      <w:pPr>
        <w:spacing w:after="269"/>
        <w:ind w:left="0"/>
        <w:jc w:val="left"/>
      </w:pPr>
      <w:r>
        <w:rPr>
          <w:rFonts w:ascii="Open Sans" w:hAnsi="Open Sans"/>
          <w:b w:val="false"/>
          <w:i w:val="false"/>
          <w:color w:val="000000"/>
          <w:sz w:val="22"/>
        </w:rPr>
        <w:t> </w:t>
      </w:r>
    </w:p>
    <w:tbl>
      <w:tblPr>
        <w:tblW w:w="5000" w:type="pct"/>
        <w:tblCellSpacing w:w="20" w:type="dxa"/>
        <w:tblInd w:w="115" w:type="dxa"/>
        <w:tblBorders>
          <w:top w:val="inset" w:color="000000" w:sz="8"/>
          <w:left w:val="inset" w:color="000000" w:sz="8"/>
          <w:bottom w:val="inset" w:color="000000" w:sz="8"/>
          <w:right w:val="inset" w:color="000000" w:sz="8"/>
          <w:insideH w:val="none"/>
          <w:insideV w:val="none"/>
        </w:tblBorders>
      </w:tblPr>
      <w:tblGrid>
        <w:gridCol w:w="7573"/>
        <w:gridCol w:w="6747"/>
      </w:tblGrid>
      <w:tr>
        <w:trPr>
          <w:trHeight w:val="60" w:hRule="atLeast"/>
        </w:trPr>
        <w:tc>
          <w:tcPr>
            <w:tcW w:w="50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Open Sans" w:hAnsi="Open Sans"/>
                <w:b/>
                <w:i w:val="false"/>
                <w:color w:val="000000"/>
                <w:sz w:val="22"/>
              </w:rPr>
              <w:t>Ansvarsfordeling ved periodisering av sak-/arkivsystem (WebSak):</w:t>
            </w:r>
            <w:r>
              <w:rPr>
                <w:rFonts w:ascii="Open Sans" w:hAnsi="Open Sans"/>
                <w:b w:val="false"/>
                <w:i w:val="false"/>
                <w:color w:val="000000"/>
                <w:sz w:val="22"/>
              </w:rPr>
              <w:t> </w:t>
            </w:r>
          </w:p>
        </w:tc>
      </w:tr>
      <w:tr>
        <w:trPr>
          <w:trHeight w:val="60" w:hRule="atLeast"/>
        </w:trPr>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Open Sans" w:hAnsi="Open Sans"/>
                <w:b/>
                <w:i w:val="false"/>
                <w:color w:val="000000"/>
                <w:sz w:val="22"/>
              </w:rPr>
              <w:t>Arkivleder i kommunen</w:t>
            </w:r>
          </w:p>
        </w:tc>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15"/>
              <w:jc w:val="left"/>
            </w:pPr>
            <w:r>
              <w:rPr>
                <w:rFonts w:ascii="Open Sans" w:hAnsi="Open Sans"/>
                <w:b w:val="false"/>
                <w:i w:val="false"/>
                <w:color w:val="000000"/>
                <w:sz w:val="22"/>
              </w:rPr>
              <w:t>Klargjøre basen til periodisering:</w:t>
            </w:r>
          </w:p>
          <w:p>
            <w:pPr>
              <w:numPr>
                <w:ilvl w:val="0"/>
                <w:numId w:val="1"/>
              </w:numPr>
              <w:spacing w:after="0"/>
              <w:ind w:left="845" w:hanging="360"/>
              <w:jc w:val="left"/>
            </w:pPr>
            <w:r>
              <w:rPr>
                <w:rFonts w:ascii="Open Sans" w:hAnsi="Open Sans"/>
                <w:b w:val="false"/>
                <w:i w:val="false"/>
                <w:color w:val="000000"/>
                <w:sz w:val="22"/>
              </w:rPr>
              <w:t>  Journalføre og avslutte saker</w:t>
            </w:r>
          </w:p>
          <w:p>
            <w:pPr>
              <w:numPr>
                <w:ilvl w:val="0"/>
                <w:numId w:val="1"/>
              </w:numPr>
              <w:spacing w:after="0"/>
              <w:ind w:left="845" w:hanging="360"/>
              <w:jc w:val="left"/>
            </w:pPr>
            <w:r>
              <w:rPr>
                <w:rFonts w:ascii="Open Sans" w:hAnsi="Open Sans"/>
                <w:b w:val="false"/>
                <w:i w:val="false"/>
                <w:color w:val="000000"/>
                <w:sz w:val="22"/>
              </w:rPr>
              <w:t>  Rette opp feil i titler</w:t>
            </w:r>
          </w:p>
          <w:p>
            <w:pPr>
              <w:numPr>
                <w:ilvl w:val="0"/>
                <w:numId w:val="1"/>
              </w:numPr>
              <w:spacing w:after="0"/>
              <w:ind w:left="845" w:hanging="360"/>
              <w:jc w:val="left"/>
            </w:pPr>
            <w:r>
              <w:rPr>
                <w:rFonts w:ascii="Open Sans" w:hAnsi="Open Sans"/>
                <w:b w:val="false"/>
                <w:i w:val="false"/>
                <w:color w:val="000000"/>
                <w:sz w:val="22"/>
              </w:rPr>
              <w:t>  Sørge for rett klassering</w:t>
            </w:r>
          </w:p>
          <w:p>
            <w:pPr>
              <w:spacing w:after="0"/>
              <w:ind w:left="15"/>
              <w:jc w:val="left"/>
            </w:pPr>
          </w:p>
        </w:tc>
      </w:tr>
      <w:tr>
        <w:trPr>
          <w:trHeight w:val="60" w:hRule="atLeast"/>
        </w:trPr>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Open Sans" w:hAnsi="Open Sans"/>
                <w:b/>
                <w:i w:val="false"/>
                <w:color w:val="000000"/>
                <w:sz w:val="22"/>
              </w:rPr>
              <w:t>Arkivleder i kommunen og leverandør</w:t>
            </w:r>
          </w:p>
        </w:tc>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numPr>
                <w:ilvl w:val="0"/>
                <w:numId w:val="2"/>
              </w:numPr>
              <w:spacing w:after="0"/>
              <w:ind w:left="845" w:hanging="360"/>
              <w:jc w:val="left"/>
            </w:pPr>
            <w:r>
              <w:rPr>
                <w:rFonts w:ascii="Open Sans" w:hAnsi="Open Sans"/>
                <w:b w:val="false"/>
                <w:i w:val="false"/>
                <w:color w:val="000000"/>
                <w:sz w:val="22"/>
              </w:rPr>
              <w:t> Arkiv og leverandør tilrettelegger basen for periodisering</w:t>
            </w:r>
          </w:p>
          <w:p>
            <w:pPr>
              <w:spacing w:after="0"/>
              <w:ind w:left="15"/>
              <w:jc w:val="left"/>
            </w:pPr>
          </w:p>
        </w:tc>
      </w:tr>
      <w:tr>
        <w:trPr>
          <w:trHeight w:val="60" w:hRule="atLeast"/>
        </w:trPr>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Open Sans" w:hAnsi="Open Sans"/>
                <w:b/>
                <w:i w:val="false"/>
                <w:color w:val="000000"/>
                <w:sz w:val="22"/>
              </w:rPr>
              <w:t>IKA Kongsberg</w:t>
            </w:r>
            <w:r>
              <w:rPr>
                <w:rFonts w:ascii="Open Sans" w:hAnsi="Open Sans"/>
                <w:b/>
                <w:i w:val="false"/>
                <w:color w:val="000000"/>
                <w:sz w:val="22"/>
              </w:rPr>
              <w:t> og arkivleder</w:t>
            </w:r>
          </w:p>
        </w:tc>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numPr>
                <w:ilvl w:val="0"/>
                <w:numId w:val="3"/>
              </w:numPr>
              <w:spacing w:after="0"/>
              <w:ind w:left="845" w:hanging="360"/>
              <w:jc w:val="left"/>
            </w:pPr>
            <w:r>
              <w:rPr>
                <w:rFonts w:ascii="Open Sans" w:hAnsi="Open Sans"/>
                <w:b w:val="false"/>
                <w:i w:val="false"/>
                <w:color w:val="000000"/>
                <w:sz w:val="22"/>
              </w:rPr>
              <w:t> Inngå skriftlig avtale for hvert arkiv/uttrekk</w:t>
            </w:r>
          </w:p>
          <w:p>
            <w:pPr>
              <w:spacing w:after="0"/>
              <w:ind w:left="15"/>
              <w:jc w:val="left"/>
            </w:pPr>
          </w:p>
        </w:tc>
      </w:tr>
      <w:tr>
        <w:trPr>
          <w:trHeight w:val="60" w:hRule="atLeast"/>
        </w:trPr>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Open Sans" w:hAnsi="Open Sans"/>
                <w:b/>
                <w:i w:val="false"/>
                <w:color w:val="000000"/>
                <w:sz w:val="22"/>
              </w:rPr>
              <w:t>IT avdelingen</w:t>
            </w:r>
          </w:p>
        </w:tc>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numPr>
                <w:ilvl w:val="0"/>
                <w:numId w:val="4"/>
              </w:numPr>
              <w:spacing w:after="0"/>
              <w:ind w:left="845" w:hanging="360"/>
              <w:jc w:val="left"/>
            </w:pPr>
            <w:r>
              <w:rPr>
                <w:rFonts w:ascii="Open Sans" w:hAnsi="Open Sans"/>
                <w:b w:val="false"/>
                <w:i w:val="false"/>
                <w:color w:val="000000"/>
                <w:sz w:val="22"/>
              </w:rPr>
              <w:t> Lage dump av basen i rett format (SIARD)</w:t>
            </w:r>
          </w:p>
          <w:p>
            <w:pPr>
              <w:spacing w:after="0"/>
              <w:ind w:left="15"/>
              <w:jc w:val="left"/>
            </w:pPr>
          </w:p>
        </w:tc>
      </w:tr>
      <w:tr>
        <w:trPr>
          <w:trHeight w:val="60" w:hRule="atLeast"/>
        </w:trPr>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spacing w:after="0"/>
              <w:ind w:left="0"/>
              <w:jc w:val="left"/>
            </w:pPr>
            <w:r>
              <w:rPr>
                <w:rFonts w:ascii="Open Sans" w:hAnsi="Open Sans"/>
                <w:b/>
                <w:i w:val="false"/>
                <w:color w:val="000000"/>
                <w:sz w:val="22"/>
              </w:rPr>
              <w:t>IKA Kongsberg</w:t>
            </w:r>
          </w:p>
        </w:tc>
        <w:tc>
          <w:tcPr>
            <w:tcW w:w="2500" w:type="pct"/>
            <w:tcBorders>
              <w:top w:val="outset" w:color="000000" w:sz="8"/>
              <w:left w:val="outset" w:color="000000" w:sz="8"/>
              <w:bottom w:val="outset" w:color="000000" w:sz="8"/>
              <w:right w:val="outset" w:color="000000" w:sz="8"/>
            </w:tcBorders>
            <w:tcMar>
              <w:top w:w="15" w:type="dxa"/>
              <w:left w:w="15" w:type="dxa"/>
              <w:bottom w:w="15" w:type="dxa"/>
              <w:right w:w="15" w:type="dxa"/>
            </w:tcMar>
            <w:vAlign w:val="center"/>
          </w:tcPr>
          <w:p>
            <w:pPr>
              <w:numPr>
                <w:ilvl w:val="0"/>
                <w:numId w:val="5"/>
              </w:numPr>
              <w:spacing w:after="0"/>
              <w:ind w:left="845" w:hanging="360"/>
              <w:jc w:val="left"/>
            </w:pPr>
            <w:r>
              <w:rPr>
                <w:rFonts w:ascii="Open Sans" w:hAnsi="Open Sans"/>
                <w:b w:val="false"/>
                <w:i w:val="false"/>
                <w:color w:val="000000"/>
                <w:sz w:val="22"/>
              </w:rPr>
              <w:t> IKA Kongsberg bestemmer uttrekks formatet</w:t>
            </w:r>
          </w:p>
          <w:p>
            <w:pPr>
              <w:numPr>
                <w:ilvl w:val="0"/>
                <w:numId w:val="5"/>
              </w:numPr>
              <w:spacing w:after="0"/>
              <w:ind w:left="845" w:hanging="360"/>
              <w:jc w:val="left"/>
            </w:pPr>
            <w:r>
              <w:rPr>
                <w:rFonts w:ascii="Open Sans" w:hAnsi="Open Sans"/>
                <w:b w:val="false"/>
                <w:i w:val="false"/>
                <w:color w:val="000000"/>
                <w:sz w:val="22"/>
              </w:rPr>
              <w:t> Uttrekket arkiveres i e-depot</w:t>
            </w:r>
          </w:p>
          <w:p>
            <w:pPr>
              <w:spacing w:after="0"/>
              <w:ind w:left="15"/>
              <w:jc w:val="left"/>
            </w:pPr>
          </w:p>
        </w:tc>
      </w:tr>
    </w:tbl>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numbering.xml" Type="http://schemas.openxmlformats.org/officeDocument/2006/relationships/numbering"/></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